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rPr>
      </w:pPr>
      <w:r>
        <w:rPr>
          <w:rFonts w:hint="eastAsia" w:ascii="仿宋" w:hAnsi="仿宋" w:eastAsia="仿宋" w:cs="仿宋"/>
        </w:rPr>
        <w:t xml:space="preserve"> </w:t>
      </w:r>
    </w:p>
    <w:p>
      <w:pPr>
        <w:rPr>
          <w:rFonts w:ascii="仿宋" w:hAnsi="仿宋" w:eastAsia="仿宋" w:cs="仿宋"/>
        </w:rPr>
      </w:pPr>
    </w:p>
    <w:p>
      <w:pPr>
        <w:rPr>
          <w:rFonts w:ascii="仿宋" w:hAnsi="仿宋" w:eastAsia="仿宋" w:cs="仿宋"/>
          <w:b/>
          <w:bCs/>
          <w:sz w:val="36"/>
          <w:szCs w:val="36"/>
        </w:rPr>
      </w:pPr>
    </w:p>
    <w:p>
      <w:pPr>
        <w:jc w:val="center"/>
        <w:rPr>
          <w:rFonts w:ascii="仿宋" w:hAnsi="仿宋" w:eastAsia="仿宋" w:cs="仿宋"/>
          <w:b/>
          <w:bCs/>
          <w:sz w:val="52"/>
          <w:szCs w:val="52"/>
        </w:rPr>
      </w:pPr>
    </w:p>
    <w:p>
      <w:pPr>
        <w:jc w:val="center"/>
        <w:rPr>
          <w:rFonts w:ascii="仿宋" w:hAnsi="仿宋" w:eastAsia="仿宋" w:cs="仿宋"/>
          <w:b/>
          <w:bCs/>
          <w:sz w:val="52"/>
          <w:szCs w:val="52"/>
        </w:rPr>
      </w:pPr>
      <w:r>
        <w:rPr>
          <w:rFonts w:hint="eastAsia" w:ascii="仿宋" w:hAnsi="仿宋" w:eastAsia="仿宋" w:cs="仿宋"/>
          <w:b/>
          <w:bCs/>
          <w:sz w:val="52"/>
          <w:szCs w:val="52"/>
        </w:rPr>
        <w:t>江西</w:t>
      </w:r>
      <w:r>
        <w:rPr>
          <w:rFonts w:hint="eastAsia" w:ascii="仿宋" w:hAnsi="仿宋" w:eastAsia="仿宋" w:cs="仿宋"/>
          <w:b/>
          <w:bCs/>
          <w:sz w:val="52"/>
          <w:szCs w:val="52"/>
          <w:lang w:eastAsia="zh-CN"/>
        </w:rPr>
        <w:t>祥喆精密技术</w:t>
      </w:r>
      <w:r>
        <w:rPr>
          <w:rFonts w:hint="eastAsia" w:ascii="仿宋" w:hAnsi="仿宋" w:eastAsia="仿宋" w:cs="仿宋"/>
          <w:b/>
          <w:bCs/>
          <w:sz w:val="52"/>
          <w:szCs w:val="52"/>
        </w:rPr>
        <w:t>有限公司</w:t>
      </w:r>
    </w:p>
    <w:p>
      <w:pPr>
        <w:jc w:val="center"/>
        <w:rPr>
          <w:rFonts w:ascii="仿宋" w:hAnsi="仿宋" w:eastAsia="仿宋" w:cs="仿宋"/>
          <w:b/>
          <w:bCs/>
          <w:sz w:val="52"/>
          <w:szCs w:val="52"/>
        </w:rPr>
      </w:pPr>
      <w:r>
        <w:rPr>
          <w:rFonts w:hint="eastAsia" w:ascii="仿宋" w:hAnsi="仿宋" w:eastAsia="仿宋" w:cs="仿宋"/>
          <w:b/>
          <w:bCs/>
          <w:sz w:val="52"/>
          <w:szCs w:val="52"/>
        </w:rPr>
        <w:t>突发环境事件应急预案编制说明</w:t>
      </w:r>
    </w:p>
    <w:p>
      <w:pPr>
        <w:jc w:val="cente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b/>
          <w:bCs/>
          <w:sz w:val="32"/>
          <w:szCs w:val="32"/>
        </w:rPr>
      </w:pPr>
    </w:p>
    <w:p>
      <w:pPr>
        <w:jc w:val="center"/>
        <w:rPr>
          <w:rFonts w:ascii="仿宋" w:hAnsi="仿宋" w:eastAsia="仿宋" w:cs="仿宋"/>
          <w:b/>
          <w:bCs/>
          <w:sz w:val="32"/>
          <w:szCs w:val="32"/>
        </w:rPr>
      </w:pPr>
    </w:p>
    <w:p>
      <w:pPr>
        <w:jc w:val="center"/>
        <w:rPr>
          <w:rFonts w:ascii="仿宋" w:hAnsi="仿宋" w:eastAsia="仿宋" w:cs="仿宋"/>
          <w:b/>
          <w:bCs/>
          <w:sz w:val="32"/>
          <w:szCs w:val="32"/>
        </w:rPr>
      </w:pPr>
      <w:r>
        <w:rPr>
          <w:rFonts w:hint="eastAsia" w:ascii="仿宋" w:hAnsi="仿宋" w:eastAsia="仿宋" w:cs="仿宋"/>
          <w:b/>
          <w:bCs/>
          <w:sz w:val="32"/>
          <w:szCs w:val="32"/>
          <w:lang w:eastAsia="zh-CN"/>
        </w:rPr>
        <w:t>江西祥喆精密技术有限</w:t>
      </w:r>
      <w:r>
        <w:rPr>
          <w:rFonts w:hint="eastAsia" w:ascii="仿宋" w:hAnsi="仿宋" w:eastAsia="仿宋" w:cs="仿宋"/>
          <w:b/>
          <w:bCs/>
          <w:sz w:val="32"/>
          <w:szCs w:val="32"/>
        </w:rPr>
        <w:t>公司</w:t>
      </w:r>
    </w:p>
    <w:p>
      <w:pPr>
        <w:jc w:val="center"/>
        <w:rPr>
          <w:rFonts w:ascii="仿宋" w:hAnsi="仿宋" w:eastAsia="仿宋" w:cs="仿宋"/>
          <w:b/>
          <w:bCs/>
          <w:sz w:val="32"/>
          <w:szCs w:val="32"/>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sz w:val="32"/>
          <w:szCs w:val="32"/>
        </w:rPr>
        <w:t>二〇二〇年十</w:t>
      </w:r>
      <w:r>
        <w:rPr>
          <w:rFonts w:hint="eastAsia" w:ascii="仿宋" w:hAnsi="仿宋" w:eastAsia="仿宋" w:cs="仿宋"/>
          <w:b/>
          <w:bCs/>
          <w:sz w:val="32"/>
          <w:szCs w:val="32"/>
          <w:lang w:eastAsia="zh-CN"/>
        </w:rPr>
        <w:t>二</w:t>
      </w:r>
      <w:r>
        <w:rPr>
          <w:rFonts w:hint="eastAsia" w:ascii="仿宋" w:hAnsi="仿宋" w:eastAsia="仿宋" w:cs="仿宋"/>
          <w:b/>
          <w:bCs/>
          <w:sz w:val="32"/>
          <w:szCs w:val="32"/>
        </w:rPr>
        <w:t>月</w:t>
      </w:r>
    </w:p>
    <w:p>
      <w:pPr>
        <w:jc w:val="center"/>
        <w:rPr>
          <w:rFonts w:ascii="仿宋" w:hAnsi="仿宋" w:eastAsia="仿宋" w:cs="仿宋"/>
          <w:b/>
          <w:bCs/>
          <w:sz w:val="32"/>
          <w:szCs w:val="32"/>
        </w:rPr>
        <w:sectPr>
          <w:pgSz w:w="11906" w:h="16838"/>
          <w:pgMar w:top="1440" w:right="1800" w:bottom="1440" w:left="1800" w:header="851" w:footer="992" w:gutter="0"/>
          <w:cols w:space="425" w:num="1"/>
          <w:docGrid w:type="lines" w:linePitch="312" w:charSpace="0"/>
        </w:sectPr>
      </w:pPr>
    </w:p>
    <w:p>
      <w:pPr>
        <w:ind w:firstLine="643" w:firstLineChars="200"/>
        <w:rPr>
          <w:rFonts w:ascii="仿宋" w:hAnsi="仿宋" w:eastAsia="仿宋" w:cs="仿宋"/>
          <w:sz w:val="28"/>
          <w:szCs w:val="28"/>
        </w:rPr>
      </w:pPr>
      <w:r>
        <w:rPr>
          <w:rFonts w:hint="eastAsia" w:ascii="仿宋" w:hAnsi="仿宋" w:eastAsia="仿宋" w:cs="仿宋"/>
          <w:b/>
          <w:bCs/>
          <w:sz w:val="32"/>
          <w:szCs w:val="32"/>
        </w:rPr>
        <w:t>一、编制过程概述</w:t>
      </w:r>
    </w:p>
    <w:p>
      <w:pPr>
        <w:ind w:firstLine="480"/>
        <w:contextualSpacing/>
        <w:rPr>
          <w:rFonts w:hint="eastAsia" w:ascii="仿宋" w:hAnsi="仿宋" w:eastAsia="仿宋" w:cs="仿宋"/>
          <w:sz w:val="28"/>
          <w:szCs w:val="28"/>
          <w:lang w:eastAsia="zh-CN"/>
        </w:rPr>
      </w:pPr>
      <w:r>
        <w:rPr>
          <w:rFonts w:hint="eastAsia" w:ascii="仿宋" w:hAnsi="仿宋" w:eastAsia="仿宋" w:cs="仿宋"/>
          <w:sz w:val="28"/>
          <w:szCs w:val="28"/>
        </w:rPr>
        <w:t>江西祥喆精密技术有限公司位于江西省南昌高新区天祥大道与瑶湖西六路交汇处兆和光电产业园2号厂房，中心地理坐标为：N 28°44'12.61"，E116°2'43.21"。</w:t>
      </w:r>
      <w:r>
        <w:rPr>
          <w:rFonts w:hint="eastAsia" w:ascii="仿宋" w:hAnsi="仿宋" w:eastAsia="仿宋" w:cs="仿宋"/>
          <w:sz w:val="28"/>
          <w:szCs w:val="28"/>
          <w:lang w:eastAsia="zh-CN"/>
        </w:rPr>
        <w:t>厂房一层主要有模具生产区、注塑车间，二层主要有综合办公区、食堂和员工活动区，二层夹层主要有办公区，三层主要有五金塑胶结构件组装车间，四层主要有机加工车间和危废暂存间</w:t>
      </w:r>
      <w:bookmarkStart w:id="0" w:name="_GoBack"/>
      <w:bookmarkEnd w:id="0"/>
      <w:r>
        <w:rPr>
          <w:rFonts w:hint="eastAsia" w:ascii="仿宋" w:hAnsi="仿宋" w:eastAsia="仿宋" w:cs="仿宋"/>
          <w:sz w:val="28"/>
          <w:szCs w:val="28"/>
          <w:lang w:eastAsia="zh-CN"/>
        </w:rPr>
        <w:t>，五层主要有仓库，厂房东侧为冲压车间。</w:t>
      </w:r>
      <w:r>
        <w:rPr>
          <w:rFonts w:hint="eastAsia" w:ascii="仿宋" w:hAnsi="仿宋" w:eastAsia="仿宋" w:cs="仿宋"/>
          <w:sz w:val="28"/>
          <w:szCs w:val="28"/>
        </w:rPr>
        <w:t>项目</w:t>
      </w:r>
      <w:r>
        <w:rPr>
          <w:rFonts w:hint="eastAsia" w:ascii="仿宋" w:hAnsi="仿宋" w:eastAsia="仿宋" w:cs="仿宋"/>
          <w:sz w:val="28"/>
          <w:szCs w:val="28"/>
          <w:lang w:eastAsia="zh-CN"/>
        </w:rPr>
        <w:t>厂房各层</w:t>
      </w:r>
      <w:r>
        <w:rPr>
          <w:rFonts w:hint="eastAsia" w:ascii="仿宋" w:hAnsi="仿宋" w:eastAsia="仿宋" w:cs="仿宋"/>
          <w:sz w:val="28"/>
          <w:szCs w:val="28"/>
        </w:rPr>
        <w:t>平面布置按功能分区，人流和物流分离，结合地形地质，因地制宜，合理布置车间及配套设施，使工艺流畅、生产系统完整，使物料运输简便、线路短捷。在总体布局设计中已充分考虑了各建筑物之间的安全距离、消防通道等因素。</w:t>
      </w:r>
    </w:p>
    <w:p>
      <w:pPr>
        <w:ind w:firstLine="480"/>
        <w:contextualSpacing/>
        <w:rPr>
          <w:rFonts w:ascii="仿宋" w:hAnsi="仿宋" w:eastAsia="仿宋" w:cs="仿宋"/>
          <w:sz w:val="28"/>
          <w:szCs w:val="28"/>
        </w:rPr>
      </w:pPr>
      <w:r>
        <w:rPr>
          <w:rFonts w:hint="eastAsia" w:ascii="仿宋" w:hAnsi="仿宋" w:eastAsia="仿宋" w:cs="仿宋"/>
          <w:sz w:val="28"/>
          <w:szCs w:val="28"/>
          <w:lang w:val="en-US" w:eastAsia="zh-CN"/>
        </w:rPr>
        <w:t>公司主要是外购铝材，通过冲压、抛光（外包）、CNC加工、喷砂（外包）、阳极氧化（外包）、高光、镭雕、组装等工序完成五金半成品生产；外购塑料颗粒，通过干燥、注塑、喷涂真镀（外包）、镭雕、丝印移印（外包）、点胶组装、检测等工序完成塑料与五金半成品组装，形成年产3500万件五金塑胶精密结构件，产品主要用于智能终端等行业。江西祥喆精密有限公司于2020年8月取得《江西祥喆精密技术有限公司</w:t>
      </w:r>
      <w:r>
        <w:rPr>
          <w:rFonts w:hint="eastAsia" w:ascii="仿宋" w:hAnsi="仿宋" w:eastAsia="仿宋" w:cs="仿宋"/>
          <w:sz w:val="28"/>
          <w:szCs w:val="28"/>
        </w:rPr>
        <w:t>年产3500万件五金塑胶精密结构件项目</w:t>
      </w:r>
      <w:r>
        <w:rPr>
          <w:rFonts w:hint="eastAsia" w:ascii="仿宋" w:hAnsi="仿宋" w:eastAsia="仿宋" w:cs="仿宋"/>
          <w:sz w:val="28"/>
          <w:szCs w:val="28"/>
          <w:lang w:eastAsia="zh-CN"/>
        </w:rPr>
        <w:t>环境影响报告表</w:t>
      </w:r>
      <w:r>
        <w:rPr>
          <w:rFonts w:hint="eastAsia" w:ascii="仿宋" w:hAnsi="仿宋" w:eastAsia="仿宋" w:cs="仿宋"/>
          <w:sz w:val="28"/>
          <w:szCs w:val="28"/>
          <w:lang w:val="en-US" w:eastAsia="zh-CN"/>
        </w:rPr>
        <w:t>》以及环评批复（洪高新管城审批字[2020]45号），目前已正常投产。</w:t>
      </w:r>
    </w:p>
    <w:p>
      <w:pPr>
        <w:ind w:firstLine="560" w:firstLineChars="200"/>
        <w:rPr>
          <w:rFonts w:ascii="仿宋" w:hAnsi="仿宋" w:eastAsia="仿宋" w:cs="仿宋"/>
          <w:sz w:val="28"/>
          <w:szCs w:val="28"/>
        </w:rPr>
      </w:pPr>
      <w:r>
        <w:rPr>
          <w:rFonts w:hint="eastAsia" w:ascii="仿宋" w:hAnsi="仿宋" w:eastAsia="仿宋" w:cs="仿宋"/>
          <w:sz w:val="28"/>
          <w:szCs w:val="28"/>
        </w:rPr>
        <w:t>根据《中华人民共和国环境保护法》、《中华人民共和国突发事件应对法》、《国家突发环境事件应急预案》、《国务院办公厅关于印发突发事件应急预案管理办法的通知》、《企业事业单位突发环境事件应急预案备案管理办法（试行）》的有关规定，本单位应编制突然环境事件应急预案。编制技术人员进行了实地踏勘，对项目区及周边范围内开展环境风险评估和应急资源调查，在此基础上，编制了公司突发环境事件应急预案。</w:t>
      </w:r>
    </w:p>
    <w:p>
      <w:pPr>
        <w:ind w:firstLine="560" w:firstLineChars="200"/>
        <w:rPr>
          <w:rFonts w:ascii="仿宋" w:hAnsi="仿宋" w:eastAsia="仿宋" w:cs="仿宋"/>
          <w:sz w:val="28"/>
          <w:szCs w:val="28"/>
        </w:rPr>
      </w:pPr>
      <w:r>
        <w:rPr>
          <w:rFonts w:hint="eastAsia" w:ascii="仿宋" w:hAnsi="仿宋" w:eastAsia="仿宋" w:cs="仿宋"/>
          <w:sz w:val="28"/>
          <w:szCs w:val="28"/>
        </w:rPr>
        <w:t>环境风险评估包括分析</w:t>
      </w:r>
      <w:r>
        <w:rPr>
          <w:rFonts w:hint="eastAsia" w:ascii="仿宋_GB2312" w:eastAsia="仿宋_GB2312"/>
          <w:sz w:val="28"/>
        </w:rPr>
        <w:t>危化品泄露、火灾；环保治理设施非正常运行等情形。</w:t>
      </w:r>
      <w:r>
        <w:rPr>
          <w:rFonts w:hint="eastAsia" w:ascii="仿宋" w:hAnsi="仿宋" w:eastAsia="仿宋" w:cs="仿宋"/>
          <w:sz w:val="28"/>
          <w:szCs w:val="28"/>
        </w:rPr>
        <w:t xml:space="preserve">事故衍化规律、自然灾害影响程度，识别环境危害因素，分析与周边可能受影响的居民、单位、区域环境的关系，构建突发环境事件及其后果情景，确定环境风险等级。应急资源调查包括调查企业第一时间可调用的环境应急队伍、装备、物资、场所等应急资源状况和可请求援助或协议援助的应急资源状况。 </w:t>
      </w:r>
    </w:p>
    <w:p>
      <w:pPr>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二、重点内容说明 </w:t>
      </w:r>
    </w:p>
    <w:p>
      <w:pPr>
        <w:ind w:firstLine="560" w:firstLineChars="200"/>
        <w:rPr>
          <w:rFonts w:ascii="仿宋" w:hAnsi="仿宋" w:eastAsia="仿宋" w:cs="仿宋"/>
          <w:sz w:val="28"/>
          <w:szCs w:val="28"/>
        </w:rPr>
      </w:pPr>
      <w:r>
        <w:rPr>
          <w:rFonts w:hint="eastAsia" w:ascii="仿宋" w:hAnsi="仿宋" w:eastAsia="仿宋" w:cs="仿宋"/>
          <w:sz w:val="28"/>
          <w:szCs w:val="28"/>
        </w:rPr>
        <w:t>《江西</w:t>
      </w:r>
      <w:r>
        <w:rPr>
          <w:rFonts w:hint="eastAsia" w:ascii="仿宋" w:hAnsi="仿宋" w:eastAsia="仿宋" w:cs="仿宋"/>
          <w:sz w:val="28"/>
          <w:szCs w:val="28"/>
          <w:lang w:eastAsia="zh-CN"/>
        </w:rPr>
        <w:t>祥喆精密技术</w:t>
      </w:r>
      <w:r>
        <w:rPr>
          <w:rFonts w:hint="eastAsia" w:ascii="仿宋" w:hAnsi="仿宋" w:eastAsia="仿宋" w:cs="仿宋"/>
          <w:sz w:val="28"/>
          <w:szCs w:val="28"/>
        </w:rPr>
        <w:t xml:space="preserve">有限公司突发环境事件应急预案》内容包括编制预案采用的标准、适用范围、分级体系，项目区概况，危险源识别和环境应急能力评估，应急机构和职责，预防、预警及响应，现场处置，培训及演练，应急监测及保障等。重点对化学品仓库等危险源识别、环境应急能力进行评估，以及突发环境事件情景下现场处置方案。 </w:t>
      </w:r>
    </w:p>
    <w:p>
      <w:pPr>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三、征求意见及采纳情况说明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 在《江西</w:t>
      </w:r>
      <w:r>
        <w:rPr>
          <w:rFonts w:hint="eastAsia" w:ascii="仿宋" w:hAnsi="仿宋" w:eastAsia="仿宋" w:cs="仿宋"/>
          <w:sz w:val="28"/>
          <w:szCs w:val="28"/>
          <w:lang w:eastAsia="zh-CN"/>
        </w:rPr>
        <w:t>祥喆精密技术</w:t>
      </w:r>
      <w:r>
        <w:rPr>
          <w:rFonts w:hint="eastAsia" w:ascii="仿宋" w:hAnsi="仿宋" w:eastAsia="仿宋" w:cs="仿宋"/>
          <w:sz w:val="28"/>
          <w:szCs w:val="28"/>
        </w:rPr>
        <w:t>有限公司突发环境事件应急预案》编制过程中征求了总经理、生产部、安环部、生管部、财务部等部门领导和职工的意见，沟通后积极采纳了相关意见并进行修改，同时征求了项目周边内可能收到影响的居民和单位的意见，主要针对突发环境事件发生时居民的联系、撤离等以及对周边环境的应急环境保护，对所有征求意见积极采纳并进行了完善。</w:t>
      </w:r>
    </w:p>
    <w:p>
      <w:pPr>
        <w:ind w:firstLine="643" w:firstLineChars="200"/>
        <w:rPr>
          <w:rFonts w:ascii="仿宋" w:hAnsi="仿宋" w:eastAsia="仿宋" w:cs="仿宋"/>
          <w:b/>
          <w:bCs/>
          <w:sz w:val="32"/>
          <w:szCs w:val="32"/>
        </w:rPr>
      </w:pPr>
      <w:r>
        <w:rPr>
          <w:rFonts w:hint="eastAsia" w:ascii="仿宋" w:hAnsi="仿宋" w:eastAsia="仿宋" w:cs="仿宋"/>
          <w:b/>
          <w:bCs/>
          <w:sz w:val="32"/>
          <w:szCs w:val="32"/>
        </w:rPr>
        <w:t>四、评审情况说明</w:t>
      </w:r>
    </w:p>
    <w:p>
      <w:pPr>
        <w:ind w:firstLine="560" w:firstLineChars="200"/>
        <w:rPr>
          <w:rFonts w:ascii="仿宋" w:hAnsi="仿宋" w:eastAsia="仿宋" w:cs="仿宋"/>
          <w:sz w:val="28"/>
          <w:szCs w:val="28"/>
        </w:rPr>
      </w:pPr>
      <w:r>
        <w:rPr>
          <w:rFonts w:hint="eastAsia" w:ascii="仿宋" w:hAnsi="仿宋" w:eastAsia="仿宋" w:cs="仿宋"/>
          <w:sz w:val="28"/>
          <w:szCs w:val="28"/>
        </w:rPr>
        <w:t>《江西</w:t>
      </w:r>
      <w:r>
        <w:rPr>
          <w:rFonts w:hint="eastAsia" w:ascii="仿宋" w:hAnsi="仿宋" w:eastAsia="仿宋" w:cs="仿宋"/>
          <w:sz w:val="28"/>
          <w:szCs w:val="28"/>
          <w:lang w:eastAsia="zh-CN"/>
        </w:rPr>
        <w:t>祥喆精密技术</w:t>
      </w:r>
      <w:r>
        <w:rPr>
          <w:rFonts w:hint="eastAsia" w:ascii="仿宋" w:hAnsi="仿宋" w:eastAsia="仿宋" w:cs="仿宋"/>
          <w:sz w:val="28"/>
          <w:szCs w:val="28"/>
        </w:rPr>
        <w:t>有限公司突发环境事件应急预案》编制完成后组织了相关专家对应急预案进行了技术评估，并按照专家的评估意见进行了修改，使《江西</w:t>
      </w:r>
      <w:r>
        <w:rPr>
          <w:rFonts w:hint="eastAsia" w:ascii="仿宋" w:hAnsi="仿宋" w:eastAsia="仿宋" w:cs="仿宋"/>
          <w:sz w:val="28"/>
          <w:szCs w:val="28"/>
          <w:lang w:eastAsia="zh-CN"/>
        </w:rPr>
        <w:t>祥喆精密技术</w:t>
      </w:r>
      <w:r>
        <w:rPr>
          <w:rFonts w:hint="eastAsia" w:ascii="仿宋" w:hAnsi="仿宋" w:eastAsia="仿宋" w:cs="仿宋"/>
          <w:sz w:val="28"/>
          <w:szCs w:val="28"/>
        </w:rPr>
        <w:t>有限公司突发环境事件应急预案》更加完善。在编制过程中，感谢相关专家、技术人员、江西</w:t>
      </w:r>
      <w:r>
        <w:rPr>
          <w:rFonts w:hint="eastAsia" w:ascii="仿宋" w:hAnsi="仿宋" w:eastAsia="仿宋" w:cs="仿宋"/>
          <w:sz w:val="28"/>
          <w:szCs w:val="28"/>
          <w:lang w:eastAsia="zh-CN"/>
        </w:rPr>
        <w:t>祥喆精密技术</w:t>
      </w:r>
      <w:r>
        <w:rPr>
          <w:rFonts w:hint="eastAsia" w:ascii="仿宋" w:hAnsi="仿宋" w:eastAsia="仿宋" w:cs="仿宋"/>
          <w:sz w:val="28"/>
          <w:szCs w:val="28"/>
        </w:rPr>
        <w:t xml:space="preserve">有限公司职工的支持和帮助。 </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r>
                  <w:rPr>
                    <w:rFonts w:hint="eastAsia"/>
                  </w:rP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F16279"/>
    <w:rsid w:val="002A37FD"/>
    <w:rsid w:val="002E40B4"/>
    <w:rsid w:val="0053618C"/>
    <w:rsid w:val="005A2F04"/>
    <w:rsid w:val="006677AA"/>
    <w:rsid w:val="00CF5B26"/>
    <w:rsid w:val="02740FD0"/>
    <w:rsid w:val="02E11835"/>
    <w:rsid w:val="036A345A"/>
    <w:rsid w:val="05D7642D"/>
    <w:rsid w:val="08521B71"/>
    <w:rsid w:val="10AA2BE2"/>
    <w:rsid w:val="12C76F9B"/>
    <w:rsid w:val="12E162B8"/>
    <w:rsid w:val="19896C66"/>
    <w:rsid w:val="1A3631DD"/>
    <w:rsid w:val="208A1FF7"/>
    <w:rsid w:val="21360A60"/>
    <w:rsid w:val="220078C6"/>
    <w:rsid w:val="27E25577"/>
    <w:rsid w:val="2DFA2246"/>
    <w:rsid w:val="31635BC3"/>
    <w:rsid w:val="386046E2"/>
    <w:rsid w:val="39775A29"/>
    <w:rsid w:val="3F802C47"/>
    <w:rsid w:val="43481B53"/>
    <w:rsid w:val="43F16279"/>
    <w:rsid w:val="47863DD5"/>
    <w:rsid w:val="482511CB"/>
    <w:rsid w:val="49040E2E"/>
    <w:rsid w:val="4C8375E3"/>
    <w:rsid w:val="5E1579C7"/>
    <w:rsid w:val="652C72B3"/>
    <w:rsid w:val="6B2F29FC"/>
    <w:rsid w:val="6FA6412D"/>
    <w:rsid w:val="76437399"/>
    <w:rsid w:val="7BEF6482"/>
    <w:rsid w:val="7C4B4C27"/>
    <w:rsid w:val="7FCF3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adjustRightInd w:val="0"/>
      <w:spacing w:line="480" w:lineRule="exact"/>
      <w:ind w:firstLine="480"/>
      <w:textAlignment w:val="baseline"/>
    </w:pPr>
    <w:rPr>
      <w:rFonts w:ascii="宋体" w:hAnsi="宋体"/>
      <w:kern w:val="0"/>
      <w:sz w:val="24"/>
      <w:szCs w:val="20"/>
    </w:rPr>
  </w:style>
  <w:style w:type="paragraph" w:styleId="3">
    <w:name w:val="annotation text"/>
    <w:basedOn w:val="1"/>
    <w:link w:val="11"/>
    <w:qFormat/>
    <w:uiPriority w:val="0"/>
    <w:pPr>
      <w:jc w:val="left"/>
    </w:p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link w:val="12"/>
    <w:qFormat/>
    <w:uiPriority w:val="0"/>
    <w:rPr>
      <w:b/>
      <w:bCs/>
    </w:rPr>
  </w:style>
  <w:style w:type="character" w:styleId="10">
    <w:name w:val="annotation reference"/>
    <w:basedOn w:val="9"/>
    <w:qFormat/>
    <w:uiPriority w:val="0"/>
    <w:rPr>
      <w:sz w:val="21"/>
      <w:szCs w:val="21"/>
    </w:rPr>
  </w:style>
  <w:style w:type="character" w:customStyle="1" w:styleId="11">
    <w:name w:val="批注文字 字符"/>
    <w:basedOn w:val="9"/>
    <w:link w:val="3"/>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7"/>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205</Words>
  <Characters>1172</Characters>
  <Lines>9</Lines>
  <Paragraphs>2</Paragraphs>
  <TotalTime>0</TotalTime>
  <ScaleCrop>false</ScaleCrop>
  <LinksUpToDate>false</LinksUpToDate>
  <CharactersWithSpaces>1375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2016-12-28T12:32:00Z</dcterms:created>
  <dc:creator>Administrator</dc:creator>
  <cp:lastModifiedBy>Administrator</cp:lastModifiedBy>
  <dcterms:modified xsi:type="dcterms:W3CDTF">2020-12-02T11:11:59Z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